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Default Extension="jpeg" ContentType="image/jpeg"/>
  <Override PartName="/word/document.xml" ContentType="application/vnd.openxmlformats-officedocument.wordprocessingml.document.main+xml"/>
  <Override PartName="/word/theme/theme1.xml" ContentType="application/vnd.openxmlformats-officedocument.theme+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EBD" w:rsidRPr="00B534F5" w:rsidRDefault="00BE1FFA">
      <w:r>
        <w:t>Name: ______________________________________________ Period: _______ Date: ___________________________</w:t>
      </w:r>
    </w:p>
    <w:p w:rsidR="0040069F" w:rsidRPr="00B534F5" w:rsidRDefault="0040069F" w:rsidP="00972EBD">
      <w:pPr>
        <w:jc w:val="center"/>
        <w:rPr>
          <w:b/>
        </w:rPr>
      </w:pPr>
    </w:p>
    <w:p w:rsidR="0040069F" w:rsidRPr="00B534F5" w:rsidRDefault="00872D9C" w:rsidP="00972EBD">
      <w:pPr>
        <w:jc w:val="center"/>
        <w:rPr>
          <w:b/>
        </w:rPr>
      </w:pPr>
      <w:proofErr w:type="spellStart"/>
      <w:r>
        <w:rPr>
          <w:b/>
        </w:rPr>
        <w:t>Dred</w:t>
      </w:r>
      <w:proofErr w:type="spellEnd"/>
      <w:r>
        <w:rPr>
          <w:b/>
        </w:rPr>
        <w:t xml:space="preserve"> Scott Decision</w:t>
      </w:r>
    </w:p>
    <w:p w:rsidR="00972EBD" w:rsidRPr="00B534F5" w:rsidRDefault="00972EBD" w:rsidP="00972EBD">
      <w:pPr>
        <w:jc w:val="both"/>
        <w:rPr>
          <w:b/>
        </w:rPr>
      </w:pPr>
      <w:r w:rsidRPr="00B534F5">
        <w:rPr>
          <w:b/>
        </w:rPr>
        <w:t>Introduction</w:t>
      </w:r>
    </w:p>
    <w:p w:rsidR="00972EBD" w:rsidRDefault="00B534F5" w:rsidP="00972EBD">
      <w:pPr>
        <w:jc w:val="both"/>
      </w:pPr>
      <w:r>
        <w:rPr>
          <w:noProof/>
        </w:rPr>
        <w:drawing>
          <wp:anchor distT="0" distB="0" distL="114300" distR="114300" simplePos="0" relativeHeight="251659264" behindDoc="0" locked="0" layoutInCell="1" allowOverlap="1">
            <wp:simplePos x="0" y="0"/>
            <wp:positionH relativeFrom="column">
              <wp:posOffset>4857750</wp:posOffset>
            </wp:positionH>
            <wp:positionV relativeFrom="paragraph">
              <wp:posOffset>-14605</wp:posOffset>
            </wp:positionV>
            <wp:extent cx="2200275" cy="2505075"/>
            <wp:effectExtent l="19050" t="0" r="9525" b="0"/>
            <wp:wrapThrough wrapText="bothSides">
              <wp:wrapPolygon edited="0">
                <wp:start x="-187" y="0"/>
                <wp:lineTo x="-187" y="21518"/>
                <wp:lineTo x="21694" y="21518"/>
                <wp:lineTo x="21694" y="0"/>
                <wp:lineTo x="-187" y="0"/>
              </wp:wrapPolygon>
            </wp:wrapThrough>
            <wp:docPr id="1" name="Picture 1" descr="http://www.lib.unc.edu/coursepages/hist/images/DredSco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ib.unc.edu/coursepages/hist/images/DredScott.jpg"/>
                    <pic:cNvPicPr>
                      <a:picLocks noChangeAspect="1" noChangeArrowheads="1"/>
                    </pic:cNvPicPr>
                  </pic:nvPicPr>
                  <pic:blipFill>
                    <a:blip r:embed="rId5"/>
                    <a:srcRect/>
                    <a:stretch>
                      <a:fillRect/>
                    </a:stretch>
                  </pic:blipFill>
                  <pic:spPr bwMode="auto">
                    <a:xfrm>
                      <a:off x="0" y="0"/>
                      <a:ext cx="2200275" cy="2505075"/>
                    </a:xfrm>
                    <a:prstGeom prst="rect">
                      <a:avLst/>
                    </a:prstGeom>
                    <a:noFill/>
                    <a:ln w="9525">
                      <a:noFill/>
                      <a:miter lim="800000"/>
                      <a:headEnd/>
                      <a:tailEnd/>
                    </a:ln>
                  </pic:spPr>
                </pic:pic>
              </a:graphicData>
            </a:graphic>
          </wp:anchor>
        </w:drawing>
      </w:r>
      <w:r w:rsidR="00972EBD" w:rsidRPr="00B534F5">
        <w:tab/>
      </w:r>
      <w:r w:rsidR="00181A04" w:rsidRPr="00B534F5">
        <w:t xml:space="preserve">Another issue involving slavery in the North and South came up around the same time of the Kansas-Nebraska Act: what to do about slaves whose owners travelled through, or settled, in territories where slavery was not legal.  This situation came to a head in the </w:t>
      </w:r>
      <w:proofErr w:type="spellStart"/>
      <w:r w:rsidR="00181A04" w:rsidRPr="00B534F5">
        <w:t>Dred</w:t>
      </w:r>
      <w:proofErr w:type="spellEnd"/>
      <w:r w:rsidR="00181A04" w:rsidRPr="00B534F5">
        <w:t xml:space="preserve"> Scott Supreme Court decision.</w:t>
      </w:r>
    </w:p>
    <w:p w:rsidR="00D43249" w:rsidRPr="00B534F5" w:rsidRDefault="00D43249" w:rsidP="00972EBD">
      <w:pPr>
        <w:jc w:val="both"/>
      </w:pPr>
    </w:p>
    <w:p w:rsidR="00972EBD" w:rsidRPr="00B534F5" w:rsidRDefault="00972EBD" w:rsidP="00972EBD">
      <w:pPr>
        <w:jc w:val="both"/>
        <w:rPr>
          <w:b/>
        </w:rPr>
      </w:pPr>
      <w:r w:rsidRPr="00B534F5">
        <w:rPr>
          <w:b/>
        </w:rPr>
        <w:t>Part 1: Guided Reading</w:t>
      </w:r>
      <w:r w:rsidR="00B534F5" w:rsidRPr="00B534F5">
        <w:t xml:space="preserve"> </w:t>
      </w:r>
    </w:p>
    <w:p w:rsidR="00972EBD" w:rsidRPr="00B534F5" w:rsidRDefault="0040069F" w:rsidP="00972EBD">
      <w:pPr>
        <w:jc w:val="both"/>
        <w:rPr>
          <w:b/>
          <w:i/>
        </w:rPr>
      </w:pPr>
      <w:r w:rsidRPr="00B534F5">
        <w:rPr>
          <w:b/>
          <w:i/>
        </w:rPr>
        <w:t>Section 1: Douglas’ Plan</w:t>
      </w:r>
    </w:p>
    <w:p w:rsidR="00972EBD" w:rsidRPr="00B534F5" w:rsidRDefault="00181A04" w:rsidP="00181A04">
      <w:pPr>
        <w:jc w:val="both"/>
        <w:rPr>
          <w:rFonts w:cs="Arial"/>
        </w:rPr>
      </w:pPr>
      <w:r w:rsidRPr="00B534F5">
        <w:rPr>
          <w:b/>
        </w:rPr>
        <w:tab/>
      </w:r>
      <w:r w:rsidRPr="00B534F5">
        <w:rPr>
          <w:rFonts w:cs="Arial"/>
        </w:rPr>
        <w:t xml:space="preserve">Two days after president Buchanan took office, the Supreme Court announced the </w:t>
      </w:r>
      <w:proofErr w:type="spellStart"/>
      <w:r w:rsidRPr="00B534F5">
        <w:rPr>
          <w:rFonts w:cs="Arial"/>
        </w:rPr>
        <w:t>Dred</w:t>
      </w:r>
      <w:proofErr w:type="spellEnd"/>
      <w:r w:rsidRPr="00B534F5">
        <w:rPr>
          <w:rFonts w:cs="Arial"/>
        </w:rPr>
        <w:t xml:space="preserve"> Scott decision.  </w:t>
      </w:r>
      <w:proofErr w:type="spellStart"/>
      <w:r w:rsidRPr="00B534F5">
        <w:rPr>
          <w:rFonts w:cs="Arial"/>
        </w:rPr>
        <w:t>Dred</w:t>
      </w:r>
      <w:proofErr w:type="spellEnd"/>
      <w:r w:rsidRPr="00B534F5">
        <w:rPr>
          <w:rFonts w:cs="Arial"/>
        </w:rPr>
        <w:t xml:space="preserve"> Scott was an enslaved African American who had been taken by his owner from the South to live for a time in Illinois and Wisconsin, areas where slavery was not allowed.  After his owner died, antislavery lawyers helped Scott sue for his freedom, claiming that he had for a time lived on free soil.  </w:t>
      </w:r>
    </w:p>
    <w:p w:rsidR="00181A04" w:rsidRPr="00B534F5" w:rsidRDefault="00181A04" w:rsidP="00B534F5">
      <w:pPr>
        <w:pStyle w:val="ListParagraph"/>
        <w:numPr>
          <w:ilvl w:val="0"/>
          <w:numId w:val="4"/>
        </w:numPr>
        <w:spacing w:line="360" w:lineRule="auto"/>
        <w:jc w:val="both"/>
        <w:rPr>
          <w:rFonts w:asciiTheme="minorHAnsi" w:hAnsiTheme="minorHAnsi" w:cs="Arial"/>
          <w:sz w:val="22"/>
          <w:szCs w:val="22"/>
        </w:rPr>
      </w:pPr>
      <w:r w:rsidRPr="00B534F5">
        <w:rPr>
          <w:rFonts w:asciiTheme="minorHAnsi" w:hAnsiTheme="minorHAnsi" w:cs="Arial"/>
          <w:sz w:val="22"/>
          <w:szCs w:val="22"/>
        </w:rPr>
        <w:t xml:space="preserve">Where did </w:t>
      </w:r>
      <w:proofErr w:type="spellStart"/>
      <w:r w:rsidRPr="00B534F5">
        <w:rPr>
          <w:rFonts w:asciiTheme="minorHAnsi" w:hAnsiTheme="minorHAnsi" w:cs="Arial"/>
          <w:sz w:val="22"/>
          <w:szCs w:val="22"/>
        </w:rPr>
        <w:t>Dred</w:t>
      </w:r>
      <w:proofErr w:type="spellEnd"/>
      <w:r w:rsidRPr="00B534F5">
        <w:rPr>
          <w:rFonts w:asciiTheme="minorHAnsi" w:hAnsiTheme="minorHAnsi" w:cs="Arial"/>
          <w:sz w:val="22"/>
          <w:szCs w:val="22"/>
        </w:rPr>
        <w:t xml:space="preserve"> Scott live that slavery was outlawed? ___________________________________________</w:t>
      </w:r>
      <w:r w:rsidR="00B534F5">
        <w:rPr>
          <w:rFonts w:asciiTheme="minorHAnsi" w:hAnsiTheme="minorHAnsi" w:cs="Arial"/>
          <w:sz w:val="22"/>
          <w:szCs w:val="22"/>
        </w:rPr>
        <w:t>_________________</w:t>
      </w:r>
      <w:r w:rsidRPr="00B534F5">
        <w:rPr>
          <w:rFonts w:asciiTheme="minorHAnsi" w:hAnsiTheme="minorHAnsi" w:cs="Arial"/>
          <w:sz w:val="22"/>
          <w:szCs w:val="22"/>
        </w:rPr>
        <w:t xml:space="preserve"> _______________________________________________________________________________________</w:t>
      </w:r>
    </w:p>
    <w:p w:rsidR="00D43249" w:rsidRDefault="00D43249" w:rsidP="00972EBD">
      <w:pPr>
        <w:jc w:val="both"/>
        <w:rPr>
          <w:rFonts w:cs="Arial"/>
          <w:b/>
          <w:i/>
        </w:rPr>
      </w:pPr>
    </w:p>
    <w:p w:rsidR="0040069F" w:rsidRPr="00B534F5" w:rsidRDefault="0040069F" w:rsidP="00972EBD">
      <w:pPr>
        <w:jc w:val="both"/>
        <w:rPr>
          <w:rFonts w:cs="Arial"/>
          <w:i/>
        </w:rPr>
      </w:pPr>
      <w:r w:rsidRPr="00B534F5">
        <w:rPr>
          <w:rFonts w:cs="Arial"/>
          <w:b/>
          <w:i/>
        </w:rPr>
        <w:t>Section 2: Bitter Debate</w:t>
      </w:r>
      <w:r w:rsidR="00972EBD" w:rsidRPr="00B534F5">
        <w:rPr>
          <w:rFonts w:cs="Arial"/>
          <w:i/>
        </w:rPr>
        <w:tab/>
      </w:r>
    </w:p>
    <w:p w:rsidR="00181A04" w:rsidRPr="00B534F5" w:rsidRDefault="0040069F" w:rsidP="00181A04">
      <w:pPr>
        <w:jc w:val="both"/>
        <w:rPr>
          <w:rFonts w:cs="Arial"/>
        </w:rPr>
      </w:pPr>
      <w:r w:rsidRPr="00B534F5">
        <w:rPr>
          <w:rFonts w:cs="Arial"/>
        </w:rPr>
        <w:tab/>
      </w:r>
      <w:r w:rsidR="00181A04" w:rsidRPr="00B534F5">
        <w:rPr>
          <w:rFonts w:cs="Arial"/>
        </w:rPr>
        <w:t xml:space="preserve">In the </w:t>
      </w:r>
      <w:proofErr w:type="spellStart"/>
      <w:r w:rsidR="00181A04" w:rsidRPr="00B534F5">
        <w:rPr>
          <w:rFonts w:cs="Arial"/>
        </w:rPr>
        <w:t>Dred</w:t>
      </w:r>
      <w:proofErr w:type="spellEnd"/>
      <w:r w:rsidR="00181A04" w:rsidRPr="00B534F5">
        <w:rPr>
          <w:rFonts w:cs="Arial"/>
        </w:rPr>
        <w:t xml:space="preserve"> Scott decision, </w:t>
      </w:r>
      <w:r w:rsidR="00D43249">
        <w:rPr>
          <w:rFonts w:cs="Arial"/>
        </w:rPr>
        <w:t xml:space="preserve">Supreme Court </w:t>
      </w:r>
      <w:r w:rsidR="00181A04" w:rsidRPr="00B534F5">
        <w:rPr>
          <w:rFonts w:cs="Arial"/>
        </w:rPr>
        <w:t xml:space="preserve">Chief Justice Taney said that Scott was a slave, not a citizen, and therefore had no right to bring a lawsuit.  He added that Scott’s residence on free soil did not make him free, because he was property.  As property, he could not be taken away from his owner without “due process of law.”  </w:t>
      </w:r>
    </w:p>
    <w:p w:rsidR="00181A04" w:rsidRPr="00B534F5" w:rsidRDefault="00181A04" w:rsidP="00181A04">
      <w:pPr>
        <w:jc w:val="both"/>
        <w:rPr>
          <w:rFonts w:cs="Arial"/>
        </w:rPr>
      </w:pPr>
      <w:r w:rsidRPr="00B534F5">
        <w:rPr>
          <w:rFonts w:cs="Arial"/>
        </w:rPr>
        <w:tab/>
        <w:t>Furthermore, Taney maintained that because the Congress had no power to prohibit slavery in any territory, the Missouri Compromise, which had limited slavery north of the 36*30* north latitude line in many Western territories, was unconstitutional.  Finally Taney added that popular sovereignty was unconstitutional because not even voters could prohibit slavery, as it would amount to taking away someone’s property.</w:t>
      </w:r>
    </w:p>
    <w:p w:rsidR="0040069F" w:rsidRPr="00B534F5" w:rsidRDefault="00181A04" w:rsidP="00181A04">
      <w:pPr>
        <w:jc w:val="both"/>
      </w:pPr>
      <w:r w:rsidRPr="00B534F5">
        <w:rPr>
          <w:rFonts w:cs="Arial"/>
        </w:rPr>
        <w:tab/>
        <w:t xml:space="preserve">The </w:t>
      </w:r>
      <w:proofErr w:type="spellStart"/>
      <w:r w:rsidRPr="00B534F5">
        <w:rPr>
          <w:rFonts w:cs="Arial"/>
        </w:rPr>
        <w:t>Dred</w:t>
      </w:r>
      <w:proofErr w:type="spellEnd"/>
      <w:r w:rsidRPr="00B534F5">
        <w:rPr>
          <w:rFonts w:cs="Arial"/>
        </w:rPr>
        <w:t xml:space="preserve"> Scott decision outraged antislavery advocates in the North, but pleased Southerners, dividing the country more than ever. </w:t>
      </w:r>
    </w:p>
    <w:p w:rsidR="00181A04" w:rsidRPr="00B534F5" w:rsidRDefault="00181A04" w:rsidP="00B534F5">
      <w:pPr>
        <w:pStyle w:val="ListParagraph"/>
        <w:numPr>
          <w:ilvl w:val="0"/>
          <w:numId w:val="5"/>
        </w:numPr>
        <w:spacing w:line="360" w:lineRule="auto"/>
        <w:jc w:val="both"/>
        <w:rPr>
          <w:rFonts w:asciiTheme="minorHAnsi" w:hAnsiTheme="minorHAnsi"/>
          <w:sz w:val="22"/>
          <w:szCs w:val="22"/>
        </w:rPr>
      </w:pPr>
      <w:r w:rsidRPr="00B534F5">
        <w:rPr>
          <w:rFonts w:asciiTheme="minorHAnsi" w:hAnsiTheme="minorHAnsi"/>
          <w:sz w:val="22"/>
          <w:szCs w:val="22"/>
        </w:rPr>
        <w:t xml:space="preserve">Why did Chief Justice Taney </w:t>
      </w:r>
      <w:r w:rsidR="00B534F5" w:rsidRPr="00B534F5">
        <w:rPr>
          <w:rFonts w:asciiTheme="minorHAnsi" w:hAnsiTheme="minorHAnsi"/>
          <w:sz w:val="22"/>
          <w:szCs w:val="22"/>
        </w:rPr>
        <w:t xml:space="preserve">say that </w:t>
      </w:r>
      <w:proofErr w:type="spellStart"/>
      <w:r w:rsidR="00B534F5" w:rsidRPr="00B534F5">
        <w:rPr>
          <w:rFonts w:asciiTheme="minorHAnsi" w:hAnsiTheme="minorHAnsi"/>
          <w:sz w:val="22"/>
          <w:szCs w:val="22"/>
        </w:rPr>
        <w:t>Dred</w:t>
      </w:r>
      <w:proofErr w:type="spellEnd"/>
      <w:r w:rsidR="00B534F5" w:rsidRPr="00B534F5">
        <w:rPr>
          <w:rFonts w:asciiTheme="minorHAnsi" w:hAnsiTheme="minorHAnsi"/>
          <w:sz w:val="22"/>
          <w:szCs w:val="22"/>
        </w:rPr>
        <w:t xml:space="preserve"> Scott had no right to bring a lawsuit? _____________________ _______________________________________________________________________________________</w:t>
      </w:r>
      <w:r w:rsidR="00BE1FFA">
        <w:rPr>
          <w:rFonts w:asciiTheme="minorHAnsi" w:hAnsiTheme="minorHAnsi"/>
          <w:sz w:val="22"/>
          <w:szCs w:val="22"/>
        </w:rPr>
        <w:t>________</w:t>
      </w:r>
    </w:p>
    <w:p w:rsidR="00B534F5" w:rsidRPr="00B534F5" w:rsidRDefault="00B534F5" w:rsidP="00B534F5">
      <w:pPr>
        <w:pStyle w:val="ListParagraph"/>
        <w:numPr>
          <w:ilvl w:val="0"/>
          <w:numId w:val="5"/>
        </w:numPr>
        <w:spacing w:line="360" w:lineRule="auto"/>
        <w:jc w:val="both"/>
        <w:rPr>
          <w:rFonts w:asciiTheme="minorHAnsi" w:hAnsiTheme="minorHAnsi"/>
          <w:sz w:val="22"/>
          <w:szCs w:val="22"/>
        </w:rPr>
      </w:pPr>
      <w:r w:rsidRPr="00B534F5">
        <w:rPr>
          <w:rFonts w:asciiTheme="minorHAnsi" w:hAnsiTheme="minorHAnsi"/>
          <w:sz w:val="22"/>
          <w:szCs w:val="22"/>
        </w:rPr>
        <w:t xml:space="preserve">Why did Chief Justice Taney say that </w:t>
      </w:r>
      <w:proofErr w:type="spellStart"/>
      <w:r w:rsidRPr="00B534F5">
        <w:rPr>
          <w:rFonts w:asciiTheme="minorHAnsi" w:hAnsiTheme="minorHAnsi"/>
          <w:sz w:val="22"/>
          <w:szCs w:val="22"/>
        </w:rPr>
        <w:t>Dred</w:t>
      </w:r>
      <w:proofErr w:type="spellEnd"/>
      <w:r w:rsidRPr="00B534F5">
        <w:rPr>
          <w:rFonts w:asciiTheme="minorHAnsi" w:hAnsiTheme="minorHAnsi"/>
          <w:sz w:val="22"/>
          <w:szCs w:val="22"/>
        </w:rPr>
        <w:t xml:space="preserve"> Scott’s resident on free soil did not make him free? __________ _______________________________________________________________________________________</w:t>
      </w:r>
      <w:r w:rsidR="00BE1FFA">
        <w:rPr>
          <w:rFonts w:asciiTheme="minorHAnsi" w:hAnsiTheme="minorHAnsi"/>
          <w:sz w:val="22"/>
          <w:szCs w:val="22"/>
        </w:rPr>
        <w:t>________</w:t>
      </w:r>
    </w:p>
    <w:p w:rsidR="00B534F5" w:rsidRPr="00B534F5" w:rsidRDefault="00B534F5" w:rsidP="00B534F5">
      <w:pPr>
        <w:pStyle w:val="ListParagraph"/>
        <w:numPr>
          <w:ilvl w:val="0"/>
          <w:numId w:val="5"/>
        </w:numPr>
        <w:spacing w:line="360" w:lineRule="auto"/>
        <w:jc w:val="both"/>
        <w:rPr>
          <w:rFonts w:asciiTheme="minorHAnsi" w:hAnsiTheme="minorHAnsi"/>
          <w:sz w:val="22"/>
          <w:szCs w:val="22"/>
        </w:rPr>
      </w:pPr>
      <w:r w:rsidRPr="00B534F5">
        <w:rPr>
          <w:rFonts w:asciiTheme="minorHAnsi" w:hAnsiTheme="minorHAnsi"/>
          <w:sz w:val="22"/>
          <w:szCs w:val="22"/>
        </w:rPr>
        <w:t>Why was popular sovereignty unconstitutional according to Taney? ________________________________ _______________________________________________________________________________________</w:t>
      </w:r>
      <w:r w:rsidR="00BE1FFA">
        <w:rPr>
          <w:rFonts w:asciiTheme="minorHAnsi" w:hAnsiTheme="minorHAnsi"/>
          <w:sz w:val="22"/>
          <w:szCs w:val="22"/>
        </w:rPr>
        <w:t>________</w:t>
      </w:r>
    </w:p>
    <w:p w:rsidR="00BE1FFA" w:rsidRDefault="00B534F5" w:rsidP="00B534F5">
      <w:pPr>
        <w:pStyle w:val="ListParagraph"/>
        <w:numPr>
          <w:ilvl w:val="0"/>
          <w:numId w:val="5"/>
        </w:numPr>
        <w:spacing w:line="360" w:lineRule="auto"/>
        <w:jc w:val="both"/>
        <w:rPr>
          <w:rFonts w:asciiTheme="minorHAnsi" w:hAnsiTheme="minorHAnsi"/>
          <w:sz w:val="22"/>
          <w:szCs w:val="22"/>
        </w:rPr>
      </w:pPr>
      <w:r w:rsidRPr="00B534F5">
        <w:rPr>
          <w:rFonts w:asciiTheme="minorHAnsi" w:hAnsiTheme="minorHAnsi"/>
          <w:sz w:val="22"/>
          <w:szCs w:val="22"/>
        </w:rPr>
        <w:t>Who did this decision outrage? _____________________________________________________________ _______________________________________________________________________________________</w:t>
      </w:r>
      <w:r w:rsidR="00BE1FFA">
        <w:rPr>
          <w:rFonts w:asciiTheme="minorHAnsi" w:hAnsiTheme="minorHAnsi"/>
          <w:sz w:val="22"/>
          <w:szCs w:val="22"/>
        </w:rPr>
        <w:t>________</w:t>
      </w:r>
    </w:p>
    <w:p w:rsidR="00B534F5" w:rsidRPr="00B534F5" w:rsidRDefault="00B534F5" w:rsidP="00BE1FFA">
      <w:pPr>
        <w:pStyle w:val="ListParagraph"/>
        <w:spacing w:line="360" w:lineRule="auto"/>
        <w:ind w:left="360"/>
        <w:jc w:val="both"/>
        <w:rPr>
          <w:rFonts w:asciiTheme="minorHAnsi" w:hAnsiTheme="minorHAnsi"/>
          <w:sz w:val="22"/>
          <w:szCs w:val="22"/>
        </w:rPr>
      </w:pPr>
    </w:p>
    <w:p w:rsidR="0040069F" w:rsidRDefault="0040069F" w:rsidP="0040069F">
      <w:pPr>
        <w:spacing w:line="360" w:lineRule="auto"/>
        <w:jc w:val="both"/>
      </w:pPr>
    </w:p>
    <w:p w:rsidR="00B534F5" w:rsidRDefault="00B534F5" w:rsidP="0040069F">
      <w:pPr>
        <w:spacing w:line="360" w:lineRule="auto"/>
        <w:jc w:val="both"/>
      </w:pPr>
    </w:p>
    <w:p w:rsidR="00B534F5" w:rsidRDefault="00B534F5" w:rsidP="0040069F">
      <w:pPr>
        <w:spacing w:line="360" w:lineRule="auto"/>
        <w:jc w:val="both"/>
      </w:pPr>
    </w:p>
    <w:p w:rsidR="00B534F5" w:rsidRDefault="00B534F5" w:rsidP="0040069F">
      <w:pPr>
        <w:spacing w:line="360" w:lineRule="auto"/>
        <w:jc w:val="both"/>
      </w:pPr>
    </w:p>
    <w:p w:rsidR="0040069F" w:rsidRDefault="0040069F" w:rsidP="0040069F">
      <w:pPr>
        <w:spacing w:line="360" w:lineRule="auto"/>
        <w:jc w:val="both"/>
      </w:pPr>
    </w:p>
    <w:p w:rsidR="00D43249" w:rsidRPr="00D43249" w:rsidRDefault="00D43249" w:rsidP="0040069F">
      <w:pPr>
        <w:spacing w:line="360" w:lineRule="auto"/>
        <w:jc w:val="both"/>
        <w:rPr>
          <w:b/>
        </w:rPr>
      </w:pPr>
      <w:r>
        <w:rPr>
          <w:b/>
        </w:rPr>
        <w:t>Part 2: Guided Practice</w:t>
      </w:r>
    </w:p>
    <w:tbl>
      <w:tblPr>
        <w:tblStyle w:val="TableGrid"/>
        <w:tblW w:w="11035" w:type="dxa"/>
        <w:tblLook w:val="04A0"/>
      </w:tblPr>
      <w:tblGrid>
        <w:gridCol w:w="3139"/>
        <w:gridCol w:w="7896"/>
      </w:tblGrid>
      <w:tr w:rsidR="0040069F">
        <w:trPr>
          <w:trHeight w:val="560"/>
        </w:trPr>
        <w:tc>
          <w:tcPr>
            <w:tcW w:w="3139" w:type="dxa"/>
          </w:tcPr>
          <w:p w:rsidR="0040069F" w:rsidRPr="0040069F" w:rsidRDefault="0040069F" w:rsidP="0040069F">
            <w:pPr>
              <w:spacing w:line="360" w:lineRule="auto"/>
              <w:jc w:val="both"/>
              <w:rPr>
                <w:b/>
              </w:rPr>
            </w:pPr>
            <w:r w:rsidRPr="0040069F">
              <w:rPr>
                <w:b/>
              </w:rPr>
              <w:t>Term</w:t>
            </w:r>
          </w:p>
        </w:tc>
        <w:tc>
          <w:tcPr>
            <w:tcW w:w="7896" w:type="dxa"/>
          </w:tcPr>
          <w:p w:rsidR="0040069F" w:rsidRPr="0040069F" w:rsidRDefault="0040069F" w:rsidP="0040069F">
            <w:pPr>
              <w:spacing w:line="360" w:lineRule="auto"/>
              <w:jc w:val="both"/>
              <w:rPr>
                <w:b/>
              </w:rPr>
            </w:pPr>
            <w:r w:rsidRPr="0040069F">
              <w:rPr>
                <w:b/>
              </w:rPr>
              <w:t>Definition</w:t>
            </w:r>
            <w:r w:rsidR="006E2DB8">
              <w:rPr>
                <w:b/>
              </w:rPr>
              <w:t>/Explanation: What is this?  Why was it important?</w:t>
            </w:r>
          </w:p>
        </w:tc>
      </w:tr>
      <w:tr w:rsidR="0040069F">
        <w:trPr>
          <w:trHeight w:val="560"/>
        </w:trPr>
        <w:tc>
          <w:tcPr>
            <w:tcW w:w="3139" w:type="dxa"/>
          </w:tcPr>
          <w:p w:rsidR="0040069F" w:rsidRPr="0040069F" w:rsidRDefault="00D43249" w:rsidP="0040069F">
            <w:pPr>
              <w:spacing w:line="360" w:lineRule="auto"/>
              <w:jc w:val="both"/>
              <w:rPr>
                <w:b/>
              </w:rPr>
            </w:pPr>
            <w:proofErr w:type="spellStart"/>
            <w:r>
              <w:rPr>
                <w:b/>
              </w:rPr>
              <w:t>Dred</w:t>
            </w:r>
            <w:proofErr w:type="spellEnd"/>
            <w:r>
              <w:rPr>
                <w:b/>
              </w:rPr>
              <w:t xml:space="preserve"> Scott</w:t>
            </w:r>
          </w:p>
          <w:p w:rsidR="0040069F" w:rsidRPr="0040069F" w:rsidRDefault="0040069F" w:rsidP="0040069F">
            <w:pPr>
              <w:spacing w:line="360" w:lineRule="auto"/>
              <w:jc w:val="both"/>
              <w:rPr>
                <w:b/>
              </w:rPr>
            </w:pPr>
          </w:p>
          <w:p w:rsidR="0040069F" w:rsidRPr="0040069F" w:rsidRDefault="0040069F" w:rsidP="0040069F">
            <w:pPr>
              <w:spacing w:line="360" w:lineRule="auto"/>
              <w:jc w:val="both"/>
              <w:rPr>
                <w:b/>
              </w:rPr>
            </w:pPr>
          </w:p>
          <w:p w:rsidR="0040069F" w:rsidRPr="0040069F" w:rsidRDefault="0040069F" w:rsidP="0040069F">
            <w:pPr>
              <w:spacing w:line="360" w:lineRule="auto"/>
              <w:jc w:val="both"/>
              <w:rPr>
                <w:b/>
              </w:rPr>
            </w:pPr>
          </w:p>
        </w:tc>
        <w:tc>
          <w:tcPr>
            <w:tcW w:w="7896" w:type="dxa"/>
          </w:tcPr>
          <w:p w:rsidR="0040069F" w:rsidRDefault="0040069F" w:rsidP="0040069F">
            <w:pPr>
              <w:spacing w:line="360" w:lineRule="auto"/>
              <w:jc w:val="both"/>
            </w:pPr>
          </w:p>
        </w:tc>
      </w:tr>
      <w:tr w:rsidR="0040069F">
        <w:trPr>
          <w:trHeight w:val="560"/>
        </w:trPr>
        <w:tc>
          <w:tcPr>
            <w:tcW w:w="3139" w:type="dxa"/>
          </w:tcPr>
          <w:p w:rsidR="0040069F" w:rsidRPr="0040069F" w:rsidRDefault="00D43249" w:rsidP="0040069F">
            <w:pPr>
              <w:spacing w:line="360" w:lineRule="auto"/>
              <w:jc w:val="both"/>
              <w:rPr>
                <w:b/>
              </w:rPr>
            </w:pPr>
            <w:r>
              <w:rPr>
                <w:b/>
              </w:rPr>
              <w:t>Chief Justice Taney</w:t>
            </w:r>
          </w:p>
          <w:p w:rsidR="0040069F" w:rsidRPr="0040069F" w:rsidRDefault="0040069F" w:rsidP="0040069F">
            <w:pPr>
              <w:spacing w:line="360" w:lineRule="auto"/>
              <w:jc w:val="both"/>
              <w:rPr>
                <w:b/>
              </w:rPr>
            </w:pPr>
          </w:p>
          <w:p w:rsidR="0040069F" w:rsidRPr="0040069F" w:rsidRDefault="0040069F" w:rsidP="0040069F">
            <w:pPr>
              <w:spacing w:line="360" w:lineRule="auto"/>
              <w:jc w:val="both"/>
              <w:rPr>
                <w:b/>
              </w:rPr>
            </w:pPr>
          </w:p>
          <w:p w:rsidR="0040069F" w:rsidRPr="0040069F" w:rsidRDefault="0040069F" w:rsidP="0040069F">
            <w:pPr>
              <w:spacing w:line="360" w:lineRule="auto"/>
              <w:jc w:val="both"/>
              <w:rPr>
                <w:b/>
              </w:rPr>
            </w:pPr>
          </w:p>
        </w:tc>
        <w:tc>
          <w:tcPr>
            <w:tcW w:w="7896" w:type="dxa"/>
          </w:tcPr>
          <w:p w:rsidR="0040069F" w:rsidRDefault="0040069F" w:rsidP="0040069F">
            <w:pPr>
              <w:spacing w:line="360" w:lineRule="auto"/>
              <w:jc w:val="both"/>
            </w:pPr>
          </w:p>
        </w:tc>
      </w:tr>
      <w:tr w:rsidR="0040069F">
        <w:trPr>
          <w:trHeight w:val="560"/>
        </w:trPr>
        <w:tc>
          <w:tcPr>
            <w:tcW w:w="3139" w:type="dxa"/>
          </w:tcPr>
          <w:p w:rsidR="0040069F" w:rsidRPr="0040069F" w:rsidRDefault="00D43249" w:rsidP="0040069F">
            <w:pPr>
              <w:spacing w:line="360" w:lineRule="auto"/>
              <w:jc w:val="both"/>
              <w:rPr>
                <w:b/>
              </w:rPr>
            </w:pPr>
            <w:proofErr w:type="spellStart"/>
            <w:r>
              <w:rPr>
                <w:b/>
              </w:rPr>
              <w:t>Dred</w:t>
            </w:r>
            <w:proofErr w:type="spellEnd"/>
            <w:r>
              <w:rPr>
                <w:b/>
              </w:rPr>
              <w:t xml:space="preserve"> Scott Decision</w:t>
            </w:r>
          </w:p>
          <w:p w:rsidR="0040069F" w:rsidRPr="0040069F" w:rsidRDefault="0040069F" w:rsidP="0040069F">
            <w:pPr>
              <w:spacing w:line="360" w:lineRule="auto"/>
              <w:jc w:val="both"/>
              <w:rPr>
                <w:b/>
              </w:rPr>
            </w:pPr>
          </w:p>
          <w:p w:rsidR="0040069F" w:rsidRPr="0040069F" w:rsidRDefault="0040069F" w:rsidP="0040069F">
            <w:pPr>
              <w:spacing w:line="360" w:lineRule="auto"/>
              <w:jc w:val="both"/>
              <w:rPr>
                <w:b/>
              </w:rPr>
            </w:pPr>
          </w:p>
          <w:p w:rsidR="0040069F" w:rsidRPr="0040069F" w:rsidRDefault="0040069F" w:rsidP="0040069F">
            <w:pPr>
              <w:spacing w:line="360" w:lineRule="auto"/>
              <w:jc w:val="both"/>
              <w:rPr>
                <w:b/>
              </w:rPr>
            </w:pPr>
          </w:p>
        </w:tc>
        <w:tc>
          <w:tcPr>
            <w:tcW w:w="7896" w:type="dxa"/>
          </w:tcPr>
          <w:p w:rsidR="00D43249" w:rsidRDefault="00D43249" w:rsidP="006E2DB8">
            <w:pPr>
              <w:pStyle w:val="ListParagraph"/>
              <w:spacing w:line="480" w:lineRule="auto"/>
              <w:ind w:left="360"/>
              <w:jc w:val="both"/>
            </w:pPr>
            <w:r>
              <w:t xml:space="preserve"> </w:t>
            </w:r>
          </w:p>
        </w:tc>
      </w:tr>
    </w:tbl>
    <w:p w:rsidR="0040069F" w:rsidRDefault="0040069F" w:rsidP="0040069F">
      <w:pPr>
        <w:pStyle w:val="ListParagraph"/>
        <w:ind w:left="360"/>
        <w:rPr>
          <w:rFonts w:asciiTheme="minorHAnsi" w:hAnsiTheme="minorHAnsi"/>
          <w:sz w:val="22"/>
        </w:rPr>
      </w:pPr>
      <w:r>
        <w:br w:type="textWrapping" w:clear="all"/>
      </w:r>
      <w:r w:rsidR="002577B1">
        <w:rPr>
          <w:rFonts w:asciiTheme="minorHAnsi" w:hAnsiTheme="minorHAnsi"/>
          <w:b/>
          <w:i/>
          <w:sz w:val="22"/>
        </w:rPr>
        <w:t>Section 2: Fill-In-The-Blank</w:t>
      </w:r>
    </w:p>
    <w:p w:rsidR="002577B1" w:rsidRDefault="002577B1" w:rsidP="0040069F">
      <w:pPr>
        <w:pStyle w:val="ListParagraph"/>
        <w:ind w:left="360"/>
        <w:rPr>
          <w:rFonts w:asciiTheme="minorHAnsi" w:hAnsiTheme="minorHAnsi"/>
          <w:sz w:val="22"/>
        </w:rPr>
      </w:pPr>
    </w:p>
    <w:p w:rsidR="002577B1" w:rsidRPr="002577B1" w:rsidRDefault="007A22C8" w:rsidP="007A22C8">
      <w:pPr>
        <w:pStyle w:val="ListParagraph"/>
        <w:pBdr>
          <w:top w:val="single" w:sz="4" w:space="1" w:color="auto"/>
          <w:left w:val="single" w:sz="4" w:space="4" w:color="auto"/>
          <w:bottom w:val="single" w:sz="4" w:space="1" w:color="auto"/>
          <w:right w:val="single" w:sz="4" w:space="4" w:color="auto"/>
        </w:pBdr>
        <w:ind w:left="360"/>
        <w:rPr>
          <w:rFonts w:asciiTheme="minorHAnsi" w:hAnsiTheme="minorHAnsi"/>
          <w:b/>
          <w:sz w:val="22"/>
        </w:rPr>
      </w:pPr>
      <w:r>
        <w:rPr>
          <w:rFonts w:asciiTheme="minorHAnsi" w:hAnsiTheme="minorHAnsi"/>
          <w:b/>
          <w:sz w:val="22"/>
        </w:rPr>
        <w:t xml:space="preserve">   </w:t>
      </w:r>
      <w:r w:rsidR="00296CBD">
        <w:rPr>
          <w:rFonts w:asciiTheme="minorHAnsi" w:hAnsiTheme="minorHAnsi"/>
          <w:b/>
          <w:sz w:val="22"/>
        </w:rPr>
        <w:t>*Property</w:t>
      </w:r>
      <w:r w:rsidR="002577B1">
        <w:rPr>
          <w:rFonts w:asciiTheme="minorHAnsi" w:hAnsiTheme="minorHAnsi"/>
          <w:b/>
          <w:sz w:val="22"/>
        </w:rPr>
        <w:tab/>
      </w:r>
      <w:r>
        <w:rPr>
          <w:rFonts w:asciiTheme="minorHAnsi" w:hAnsiTheme="minorHAnsi"/>
          <w:b/>
          <w:sz w:val="22"/>
        </w:rPr>
        <w:t xml:space="preserve">  </w:t>
      </w:r>
      <w:r w:rsidR="00296CBD">
        <w:rPr>
          <w:rFonts w:asciiTheme="minorHAnsi" w:hAnsiTheme="minorHAnsi"/>
          <w:b/>
          <w:sz w:val="22"/>
        </w:rPr>
        <w:t xml:space="preserve">     </w:t>
      </w:r>
      <w:r>
        <w:rPr>
          <w:rFonts w:asciiTheme="minorHAnsi" w:hAnsiTheme="minorHAnsi"/>
          <w:b/>
          <w:sz w:val="22"/>
        </w:rPr>
        <w:t xml:space="preserve"> </w:t>
      </w:r>
      <w:r w:rsidR="00296CBD">
        <w:rPr>
          <w:rFonts w:asciiTheme="minorHAnsi" w:hAnsiTheme="minorHAnsi"/>
          <w:b/>
          <w:sz w:val="22"/>
        </w:rPr>
        <w:t xml:space="preserve">*Slavery        *South  </w:t>
      </w:r>
      <w:r>
        <w:rPr>
          <w:rFonts w:asciiTheme="minorHAnsi" w:hAnsiTheme="minorHAnsi"/>
          <w:b/>
          <w:sz w:val="22"/>
        </w:rPr>
        <w:t xml:space="preserve">  </w:t>
      </w:r>
      <w:r w:rsidR="00296CBD">
        <w:rPr>
          <w:rFonts w:asciiTheme="minorHAnsi" w:hAnsiTheme="minorHAnsi"/>
          <w:b/>
          <w:sz w:val="22"/>
        </w:rPr>
        <w:t xml:space="preserve">    *Unconstitutional</w:t>
      </w:r>
      <w:r w:rsidR="002577B1">
        <w:rPr>
          <w:rFonts w:asciiTheme="minorHAnsi" w:hAnsiTheme="minorHAnsi"/>
          <w:b/>
          <w:sz w:val="22"/>
        </w:rPr>
        <w:t xml:space="preserve"> </w:t>
      </w:r>
      <w:r w:rsidR="002577B1">
        <w:rPr>
          <w:rFonts w:asciiTheme="minorHAnsi" w:hAnsiTheme="minorHAnsi"/>
          <w:b/>
          <w:sz w:val="22"/>
        </w:rPr>
        <w:tab/>
      </w:r>
      <w:r w:rsidR="00296CBD">
        <w:rPr>
          <w:rFonts w:asciiTheme="minorHAnsi" w:hAnsiTheme="minorHAnsi"/>
          <w:b/>
          <w:sz w:val="22"/>
        </w:rPr>
        <w:t xml:space="preserve">     *</w:t>
      </w:r>
      <w:proofErr w:type="spellStart"/>
      <w:r w:rsidR="00296CBD">
        <w:rPr>
          <w:rFonts w:asciiTheme="minorHAnsi" w:hAnsiTheme="minorHAnsi"/>
          <w:b/>
          <w:sz w:val="22"/>
        </w:rPr>
        <w:t>Dred</w:t>
      </w:r>
      <w:proofErr w:type="spellEnd"/>
      <w:r w:rsidR="00296CBD">
        <w:rPr>
          <w:rFonts w:asciiTheme="minorHAnsi" w:hAnsiTheme="minorHAnsi"/>
          <w:b/>
          <w:sz w:val="22"/>
        </w:rPr>
        <w:t xml:space="preserve"> Scott</w:t>
      </w:r>
      <w:r w:rsidR="00296CBD">
        <w:rPr>
          <w:rFonts w:asciiTheme="minorHAnsi" w:hAnsiTheme="minorHAnsi"/>
          <w:b/>
          <w:sz w:val="22"/>
        </w:rPr>
        <w:tab/>
        <w:t xml:space="preserve">     *Chief Justice Taney</w:t>
      </w:r>
      <w:r w:rsidR="00296CBD">
        <w:rPr>
          <w:rFonts w:asciiTheme="minorHAnsi" w:hAnsiTheme="minorHAnsi"/>
          <w:b/>
          <w:sz w:val="22"/>
        </w:rPr>
        <w:tab/>
        <w:t xml:space="preserve">        *North</w:t>
      </w:r>
    </w:p>
    <w:p w:rsidR="002577B1" w:rsidRDefault="002577B1" w:rsidP="0040069F">
      <w:pPr>
        <w:pStyle w:val="ListParagraph"/>
        <w:ind w:left="360"/>
        <w:rPr>
          <w:rFonts w:asciiTheme="minorHAnsi" w:hAnsiTheme="minorHAnsi"/>
          <w:sz w:val="22"/>
        </w:rPr>
      </w:pPr>
    </w:p>
    <w:p w:rsidR="00D43249" w:rsidRPr="002577B1" w:rsidRDefault="002577B1" w:rsidP="00296CBD">
      <w:pPr>
        <w:pStyle w:val="ListParagraph"/>
        <w:spacing w:line="480" w:lineRule="auto"/>
        <w:ind w:left="360"/>
        <w:rPr>
          <w:rFonts w:asciiTheme="minorHAnsi" w:hAnsiTheme="minorHAnsi"/>
          <w:sz w:val="22"/>
        </w:rPr>
      </w:pPr>
      <w:r>
        <w:rPr>
          <w:rFonts w:asciiTheme="minorHAnsi" w:hAnsiTheme="minorHAnsi"/>
          <w:sz w:val="22"/>
        </w:rPr>
        <w:tab/>
      </w:r>
      <w:r w:rsidR="00D43249">
        <w:rPr>
          <w:rFonts w:asciiTheme="minorHAnsi" w:hAnsiTheme="minorHAnsi"/>
          <w:sz w:val="22"/>
        </w:rPr>
        <w:t xml:space="preserve">________________________ was a slave whose owner moved from the south to Wisconsin and Illinois, where slavery was outlawed.  When his owner died, </w:t>
      </w:r>
      <w:proofErr w:type="spellStart"/>
      <w:r w:rsidR="00D43249">
        <w:rPr>
          <w:rFonts w:asciiTheme="minorHAnsi" w:hAnsiTheme="minorHAnsi"/>
          <w:sz w:val="22"/>
        </w:rPr>
        <w:t>Dred</w:t>
      </w:r>
      <w:proofErr w:type="spellEnd"/>
      <w:r w:rsidR="00D43249">
        <w:rPr>
          <w:rFonts w:asciiTheme="minorHAnsi" w:hAnsiTheme="minorHAnsi"/>
          <w:sz w:val="22"/>
        </w:rPr>
        <w:t xml:space="preserve"> Scott sued for his freedom claiming that since he had lived where __________________ was outlawed he should be freed.  ____________________________________________ wrote in the Supreme Court’s decision, that </w:t>
      </w:r>
      <w:proofErr w:type="spellStart"/>
      <w:r w:rsidR="00D43249">
        <w:rPr>
          <w:rFonts w:asciiTheme="minorHAnsi" w:hAnsiTheme="minorHAnsi"/>
          <w:sz w:val="22"/>
        </w:rPr>
        <w:t>Dred</w:t>
      </w:r>
      <w:proofErr w:type="spellEnd"/>
      <w:r w:rsidR="00D43249">
        <w:rPr>
          <w:rFonts w:asciiTheme="minorHAnsi" w:hAnsiTheme="minorHAnsi"/>
          <w:sz w:val="22"/>
        </w:rPr>
        <w:t xml:space="preserve"> Scott could not bring suit because he was not a citizen, he was ____________________________.  Additionally, Taney wrote that the Missouri Compromise and popular sovereignty were </w:t>
      </w:r>
      <w:r w:rsidR="00296CBD">
        <w:rPr>
          <w:rFonts w:asciiTheme="minorHAnsi" w:hAnsiTheme="minorHAnsi"/>
          <w:sz w:val="22"/>
        </w:rPr>
        <w:t>____________________________</w:t>
      </w:r>
      <w:r w:rsidR="00D43249">
        <w:rPr>
          <w:rFonts w:asciiTheme="minorHAnsi" w:hAnsiTheme="minorHAnsi"/>
          <w:sz w:val="22"/>
        </w:rPr>
        <w:t>, as they took away property</w:t>
      </w:r>
      <w:r w:rsidR="00296CBD">
        <w:rPr>
          <w:rFonts w:asciiTheme="minorHAnsi" w:hAnsiTheme="minorHAnsi"/>
          <w:sz w:val="22"/>
        </w:rPr>
        <w:t xml:space="preserve"> (slaves).  This outraged the  </w:t>
      </w:r>
      <w:r w:rsidR="00D43249">
        <w:rPr>
          <w:rFonts w:asciiTheme="minorHAnsi" w:hAnsiTheme="minorHAnsi"/>
          <w:sz w:val="22"/>
        </w:rPr>
        <w:t>____________________________</w:t>
      </w:r>
      <w:proofErr w:type="gramStart"/>
      <w:r w:rsidR="00D43249">
        <w:rPr>
          <w:rFonts w:asciiTheme="minorHAnsi" w:hAnsiTheme="minorHAnsi"/>
          <w:sz w:val="22"/>
        </w:rPr>
        <w:t>_</w:t>
      </w:r>
      <w:r w:rsidR="00296CBD">
        <w:rPr>
          <w:rFonts w:asciiTheme="minorHAnsi" w:hAnsiTheme="minorHAnsi"/>
          <w:sz w:val="22"/>
        </w:rPr>
        <w:t xml:space="preserve"> </w:t>
      </w:r>
      <w:r w:rsidR="00D43249">
        <w:rPr>
          <w:rFonts w:asciiTheme="minorHAnsi" w:hAnsiTheme="minorHAnsi"/>
          <w:sz w:val="22"/>
        </w:rPr>
        <w:t>,</w:t>
      </w:r>
      <w:proofErr w:type="gramEnd"/>
      <w:r w:rsidR="00D43249">
        <w:rPr>
          <w:rFonts w:asciiTheme="minorHAnsi" w:hAnsiTheme="minorHAnsi"/>
          <w:sz w:val="22"/>
        </w:rPr>
        <w:t xml:space="preserve"> please</w:t>
      </w:r>
      <w:r w:rsidR="00296CBD">
        <w:rPr>
          <w:rFonts w:asciiTheme="minorHAnsi" w:hAnsiTheme="minorHAnsi"/>
          <w:sz w:val="22"/>
        </w:rPr>
        <w:t>d</w:t>
      </w:r>
      <w:r w:rsidR="00D43249">
        <w:rPr>
          <w:rFonts w:asciiTheme="minorHAnsi" w:hAnsiTheme="minorHAnsi"/>
          <w:sz w:val="22"/>
        </w:rPr>
        <w:t xml:space="preserve"> the ____________________, and caused tensions to grow further between the two sides.  The nation was further divided, and some feared that Civil War was near.</w:t>
      </w:r>
    </w:p>
    <w:p w:rsidR="002577B1" w:rsidRPr="002577B1" w:rsidRDefault="002577B1" w:rsidP="002577B1">
      <w:pPr>
        <w:pStyle w:val="ListParagraph"/>
        <w:spacing w:line="360" w:lineRule="auto"/>
        <w:ind w:left="360"/>
        <w:rPr>
          <w:rFonts w:asciiTheme="minorHAnsi" w:hAnsiTheme="minorHAnsi"/>
          <w:sz w:val="22"/>
        </w:rPr>
      </w:pPr>
    </w:p>
    <w:sectPr w:rsidR="002577B1" w:rsidRPr="002577B1" w:rsidSect="00972EBD">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altName w:val="?Îv?"/>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altName w:val=" Helvetica"/>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A10C3"/>
    <w:multiLevelType w:val="hybridMultilevel"/>
    <w:tmpl w:val="5A303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ED19C4"/>
    <w:multiLevelType w:val="hybridMultilevel"/>
    <w:tmpl w:val="FAAC1A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CA11578"/>
    <w:multiLevelType w:val="hybridMultilevel"/>
    <w:tmpl w:val="05480B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3471E75"/>
    <w:multiLevelType w:val="hybridMultilevel"/>
    <w:tmpl w:val="67BE43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0E70DA9"/>
    <w:multiLevelType w:val="hybridMultilevel"/>
    <w:tmpl w:val="FDE4CA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6334B52"/>
    <w:multiLevelType w:val="hybridMultilevel"/>
    <w:tmpl w:val="C4185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570451"/>
    <w:multiLevelType w:val="hybridMultilevel"/>
    <w:tmpl w:val="5A9444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F2957F5"/>
    <w:multiLevelType w:val="hybridMultilevel"/>
    <w:tmpl w:val="05480B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3"/>
  </w:num>
  <w:num w:numId="3">
    <w:abstractNumId w:val="4"/>
  </w:num>
  <w:num w:numId="4">
    <w:abstractNumId w:val="2"/>
  </w:num>
  <w:num w:numId="5">
    <w:abstractNumId w:val="7"/>
  </w:num>
  <w:num w:numId="6">
    <w:abstractNumId w:val="6"/>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oNotTrackMoves/>
  <w:defaultTabStop w:val="720"/>
  <w:drawingGridHorizontalSpacing w:val="110"/>
  <w:displayHorizontalDrawingGridEvery w:val="2"/>
  <w:characterSpacingControl w:val="doNotCompress"/>
  <w:compat/>
  <w:rsids>
    <w:rsidRoot w:val="00972EBD"/>
    <w:rsid w:val="000124E4"/>
    <w:rsid w:val="00181A04"/>
    <w:rsid w:val="002577B1"/>
    <w:rsid w:val="00296CBD"/>
    <w:rsid w:val="002B581A"/>
    <w:rsid w:val="0040069F"/>
    <w:rsid w:val="006E2DB8"/>
    <w:rsid w:val="007A22C8"/>
    <w:rsid w:val="00872D9C"/>
    <w:rsid w:val="00907340"/>
    <w:rsid w:val="00972EBD"/>
    <w:rsid w:val="00A670E3"/>
    <w:rsid w:val="00B50960"/>
    <w:rsid w:val="00B534F5"/>
    <w:rsid w:val="00BE1FFA"/>
    <w:rsid w:val="00CF4E39"/>
    <w:rsid w:val="00D43249"/>
  </w:rsids>
  <m:mathPr>
    <m:mathFont m:val="Candara"/>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0E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72EBD"/>
    <w:pPr>
      <w:ind w:left="720"/>
      <w:contextualSpacing/>
    </w:pPr>
    <w:rPr>
      <w:rFonts w:ascii="Times New Roman" w:eastAsia="Times New Roman" w:hAnsi="Times New Roman" w:cs="Times New Roman"/>
      <w:sz w:val="24"/>
      <w:szCs w:val="24"/>
    </w:rPr>
  </w:style>
  <w:style w:type="table" w:styleId="TableGrid">
    <w:name w:val="Table Grid"/>
    <w:basedOn w:val="TableNormal"/>
    <w:uiPriority w:val="59"/>
    <w:rsid w:val="0040069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0069F"/>
    <w:rPr>
      <w:rFonts w:ascii="Tahoma" w:hAnsi="Tahoma" w:cs="Tahoma"/>
      <w:sz w:val="16"/>
      <w:szCs w:val="16"/>
    </w:rPr>
  </w:style>
  <w:style w:type="character" w:customStyle="1" w:styleId="BalloonTextChar">
    <w:name w:val="Balloon Text Char"/>
    <w:basedOn w:val="DefaultParagraphFont"/>
    <w:link w:val="BalloonText"/>
    <w:uiPriority w:val="99"/>
    <w:semiHidden/>
    <w:rsid w:val="0040069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image" Target="media/image1.jpeg"/><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571</Words>
  <Characters>3257</Characters>
  <Application>Microsoft Macintosh Word</Application>
  <DocSecurity>0</DocSecurity>
  <Lines>27</Lines>
  <Paragraphs>6</Paragraphs>
  <ScaleCrop>false</ScaleCrop>
  <HeadingPairs>
    <vt:vector size="2" baseType="variant">
      <vt:variant>
        <vt:lpstr>Title</vt:lpstr>
      </vt:variant>
      <vt:variant>
        <vt:i4>1</vt:i4>
      </vt:variant>
    </vt:vector>
  </HeadingPairs>
  <TitlesOfParts>
    <vt:vector size="1" baseType="lpstr">
      <vt:lpstr/>
    </vt:vector>
  </TitlesOfParts>
  <Company>The Soulsville Charter School</Company>
  <LinksUpToDate>false</LinksUpToDate>
  <CharactersWithSpaces>3999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ahodges</dc:creator>
  <cp:keywords/>
  <dc:description/>
  <cp:lastModifiedBy>Molly Zeins</cp:lastModifiedBy>
  <cp:revision>3</cp:revision>
  <cp:lastPrinted>2011-09-20T21:02:00Z</cp:lastPrinted>
  <dcterms:created xsi:type="dcterms:W3CDTF">2011-09-18T18:10:00Z</dcterms:created>
  <dcterms:modified xsi:type="dcterms:W3CDTF">2011-09-20T21:02:00Z</dcterms:modified>
</cp:coreProperties>
</file>